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Gill Sans" w:cs="Gill Sans" w:eastAsia="Gill Sans" w:hAnsi="Gill Sans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u w:val="single"/>
          <w:rtl w:val="0"/>
        </w:rPr>
        <w:t xml:space="preserve">Year 3 PSHE 3/4 Grove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Ind w:w="-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2025"/>
        <w:gridCol w:w="2265"/>
        <w:gridCol w:w="2145"/>
        <w:gridCol w:w="2370"/>
        <w:gridCol w:w="2385"/>
        <w:gridCol w:w="2385"/>
        <w:tblGridChange w:id="0">
          <w:tblGrid>
            <w:gridCol w:w="1725"/>
            <w:gridCol w:w="2025"/>
            <w:gridCol w:w="2265"/>
            <w:gridCol w:w="2145"/>
            <w:gridCol w:w="2370"/>
            <w:gridCol w:w="2385"/>
            <w:gridCol w:w="2385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Me and my Relationships</w:t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bookmarkStart w:colFirst="0" w:colLast="0" w:name="_heading=h.rh2jbc2fpmg0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C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0E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0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12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5</w:t>
            </w:r>
          </w:p>
          <w:p w:rsidR="00000000" w:rsidDel="00000000" w:rsidP="00000000" w:rsidRDefault="00000000" w:rsidRPr="00000000" w14:paraId="00000014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Session 6</w:t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Who are our helpful volunteers?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How do I help others to stay safe?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Is it a fact or an opinion?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do we mean by the environment?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is money?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do we mean by earning money?</w:t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Content LO:</w:t>
            </w:r>
          </w:p>
          <w:p w:rsidR="00000000" w:rsidDel="00000000" w:rsidP="00000000" w:rsidRDefault="00000000" w:rsidRPr="00000000" w14:paraId="0000001E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identify people who are volunteers in the school community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identify key people who are responsible for them to stay safe and healthy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after="16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understand the difference between 'fact' and 'opinion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define what is meant by the environment.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after="16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understand the terms ‘income’, ‘saving’ and ‘spending’.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after="160" w:lineRule="auto"/>
              <w:ind w:left="0" w:firstLine="0"/>
              <w:rPr>
                <w:rFonts w:ascii="Century Gothic" w:cs="Century Gothic" w:eastAsia="Century Gothic" w:hAnsi="Century Gothic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4"/>
                <w:szCs w:val="24"/>
                <w:highlight w:val="white"/>
                <w:rtl w:val="0"/>
              </w:rPr>
              <w:t xml:space="preserve">To understand that the amount people get paid is due to a range of factors.</w:t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Skills LO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recognise some of the reasons why people volunteer, including mental health and wellbeing benefits to those who volunteer.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suggest ways they can help these people.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understand how an event can be perceived from different viewpoints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evaluate and explain different methods of looking after the school environment.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 recognise that there are times we can buy items we want and times when we need to save for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items.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spacing w:after="160" w:lineRule="auto"/>
              <w:rPr>
                <w:rFonts w:ascii="Century Gothic" w:cs="Century Gothic" w:eastAsia="Century Gothic" w:hAnsi="Century Gothic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4"/>
                <w:szCs w:val="24"/>
                <w:rtl w:val="0"/>
              </w:rPr>
              <w:t xml:space="preserve">To explain that people earn their income through their jobs.</w:t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Pillar focus: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Safety and security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Safety and security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Thinking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Listening &amp; respecting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Accepting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Listening &amp; respecting</w:t>
            </w:r>
          </w:p>
        </w:tc>
      </w:tr>
      <w:tr>
        <w:trPr>
          <w:cantSplit w:val="0"/>
          <w:trHeight w:val="319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Assessment: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that as I get older I start to take more responsibility for keeping myself safe and can give an example of this.</w:t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say how I can help the people who help me, and how I can do this. I can give an example of this.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a few examples of how I’ve helped people who help me and how I can help myself.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that as I get older I start to take more responsibility for keeping myself safe and can give an example of this.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say how I can help the people who help me, and how I can do this. I can give an example of this.</w:t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a few examples of how I’ve helped people who help me and how I can help myself.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an example of a fact and of an opinion.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say some ways of checking whether something is a fact or just an opinion.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some of the ways that people online might try to trick people by presenting ‘false facts’ and say what I can do to keep myself safe from being tricked.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understand that I can make a difference in relation to different things such as the environment, looking after people (including friends) and I can give an example of one of these.</w:t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how a ‘bystander’ I can have a positive effect on negative behaviour they witness (see happening) by working together to stop or change that behaviour. 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tell you what an active bystander is and give an example of when I might be able to be an active bystander, or when I have done this.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how money is a limited resource and we have choices and decisions to make about how to spend it.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examples of these decisions and how they might relate to me.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examples of how these decisions might affect communities including schools or the wider community, such as where I live.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how money is a limited resource and we have choices and decisions to make about how to spend it.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examples of these decisions and how they might relate to me.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give examples of how these decisions might affect communities including schools or the wider community, such as where I live.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Gill Sans" w:cs="Gill Sans" w:eastAsia="Gill Sans" w:hAnsi="Gill Sans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F3DF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F3DF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15593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rov02dhHS/eXKmoGIs3heQ0qA==">AMUW2mUU0MJxlv04haO640Qw5Q7F14NjuRKfXqUVLkr2hTVt2S9Jcn0axMjiyvEOq1nJKNIDH3tnrwIkxOVXGkHB1e95nX8YBvJDbwFaEMQFpoW5np5yRH2AONopxJtWS0Q+8oOpBPToQ4tWr8KvfmIALFGpDSlffA==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2021-11-29T21:22:00Z</dcterms:created>
  <dc:creator>Steve Moore</dc:creator>
</cp:coreProperties>
</file>